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
	<Relationship Id="rId1" Type="http://schemas.openxmlformats.org/officeDocument/2006/relationships/officeDocument" Target="word/document.xml"/>
	<Relationship Id="rId2" Type="http://schemas.openxmlformats.org/package/2006/relationships/metadata/core-properties" Target="docProps/core.xml"/>
	<Relationship Id="rId3" Type="http://schemas.openxmlformats.org/officeDocument/2006/relationships/extended-properties" Target="docProps/app.xml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</w:pPr>
            <w:r>
              <w:rPr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8335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Приказ Минприроды России от 01.12.2020 N 996</w:t>
              <w:br/>
              <w:t xml:space="preserve">"Об утверждении Положения о порядке осуществления добычи подземных вод для собственных производственных и технологических нужд пользователями недр, осуществляющими разведку и добычу полезных ископаемых или по совмещенной лицензии геологическое изучение, разведку и добычу полезных ископаемых, разработку технологий геологического изучения, разведки и добычи трудноизвлекаемых полезных ископаемых или по совмещенной лицензии разработку технологий геологического изучения, разведки и добычи трудноизвлекаемых полезных ископаемых, разведку и добычу таких полезных ископаемых, в границах предоставленных им участков недр на основании утвержденного технического проекта"</w:t>
              <w:br/>
              <w:t xml:space="preserve">(Зарегистрировано в Минюсте России 31.12.2020 N 62024)</w:t>
            </w:r>
          </w:p>
        </w:tc>
      </w:tr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w:history="0" r:id="rId3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КонсультантПлюс</w:t>
                <w:br/>
                <w:br/>
              </w:r>
            </w:hyperlink>
            <w:hyperlink w:history="0" r:id="rId4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06.04.2026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titlePg/>
        </w:sectPr>
      </w:pPr>
    </w:p>
    <w:p>
      <w:pPr>
        <w:pStyle w:val="0"/>
        <w:outlineLvl w:val="0"/>
      </w:pPr>
      <w:r>
        <w:rPr>
          <w:sz w:val="24"/>
        </w:rPr>
      </w:r>
    </w:p>
    <w:p>
      <w:pPr>
        <w:pStyle w:val="0"/>
        <w:outlineLvl w:val="0"/>
      </w:pPr>
      <w:r>
        <w:rPr>
          <w:sz w:val="24"/>
        </w:rPr>
        <w:t xml:space="preserve">Зарегистрировано в Минюсте России 31 декабря 2020 г. N 62024</w:t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p>
      <w:pPr>
        <w:pStyle w:val="0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МИНИСТЕРСТВО ПРИРОДНЫХ РЕСУРСОВ И ЭКОЛОГИИ</w:t>
      </w:r>
    </w:p>
    <w:p>
      <w:pPr>
        <w:pStyle w:val="2"/>
        <w:jc w:val="center"/>
      </w:pPr>
      <w:r>
        <w:rPr>
          <w:sz w:val="24"/>
        </w:rPr>
        <w:t xml:space="preserve">РОССИЙСКОЙ ФЕДЕРАЦИИ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ПРИКАЗ</w:t>
      </w:r>
    </w:p>
    <w:p>
      <w:pPr>
        <w:pStyle w:val="2"/>
        <w:jc w:val="center"/>
      </w:pPr>
      <w:r>
        <w:rPr>
          <w:sz w:val="24"/>
        </w:rPr>
        <w:t xml:space="preserve">от 1 декабря 2020 г. N 996</w:t>
      </w:r>
    </w:p>
    <w:p>
      <w:pPr>
        <w:pStyle w:val="2"/>
        <w:ind w:firstLine="540"/>
        <w:jc w:val="both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ОБ УТВЕРЖДЕНИИ ПОЛОЖЕНИЯ</w:t>
      </w:r>
    </w:p>
    <w:p>
      <w:pPr>
        <w:pStyle w:val="2"/>
        <w:jc w:val="center"/>
      </w:pPr>
      <w:r>
        <w:rPr>
          <w:sz w:val="24"/>
        </w:rPr>
        <w:t xml:space="preserve">О ПОРЯДКЕ ОСУЩЕСТВЛЕНИЯ ДОБЫЧИ ПОДЗЕМНЫХ ВОД</w:t>
      </w:r>
    </w:p>
    <w:p>
      <w:pPr>
        <w:pStyle w:val="2"/>
        <w:jc w:val="center"/>
      </w:pPr>
      <w:r>
        <w:rPr>
          <w:sz w:val="24"/>
        </w:rPr>
        <w:t xml:space="preserve">ДЛЯ СОБСТВЕННЫХ ПРОИЗВОДСТВЕННЫХ И ТЕХНОЛОГИЧЕСКИХ</w:t>
      </w:r>
    </w:p>
    <w:p>
      <w:pPr>
        <w:pStyle w:val="2"/>
        <w:jc w:val="center"/>
      </w:pPr>
      <w:r>
        <w:rPr>
          <w:sz w:val="24"/>
        </w:rPr>
        <w:t xml:space="preserve">НУЖД ПОЛЬЗОВАТЕЛЯМИ НЕДР, ОСУЩЕСТВЛЯЮЩИМИ РАЗВЕДКУ</w:t>
      </w:r>
    </w:p>
    <w:p>
      <w:pPr>
        <w:pStyle w:val="2"/>
        <w:jc w:val="center"/>
      </w:pPr>
      <w:r>
        <w:rPr>
          <w:sz w:val="24"/>
        </w:rPr>
        <w:t xml:space="preserve">И ДОБЫЧУ ПОЛЕЗНЫХ ИСКОПАЕМЫХ ИЛИ ПО СОВМЕЩЕННОЙ ЛИЦЕНЗИИ</w:t>
      </w:r>
    </w:p>
    <w:p>
      <w:pPr>
        <w:pStyle w:val="2"/>
        <w:jc w:val="center"/>
      </w:pPr>
      <w:r>
        <w:rPr>
          <w:sz w:val="24"/>
        </w:rPr>
        <w:t xml:space="preserve">ГЕОЛОГИЧЕСКОЕ ИЗУЧЕНИЕ, РАЗВЕДКУ И ДОБЫЧУ ПОЛЕЗНЫХ</w:t>
      </w:r>
    </w:p>
    <w:p>
      <w:pPr>
        <w:pStyle w:val="2"/>
        <w:jc w:val="center"/>
      </w:pPr>
      <w:r>
        <w:rPr>
          <w:sz w:val="24"/>
        </w:rPr>
        <w:t xml:space="preserve">ИСКОПАЕМЫХ, РАЗРАБОТКУ ТЕХНОЛОГИЙ ГЕОЛОГИЧЕСКОГО</w:t>
      </w:r>
    </w:p>
    <w:p>
      <w:pPr>
        <w:pStyle w:val="2"/>
        <w:jc w:val="center"/>
      </w:pPr>
      <w:r>
        <w:rPr>
          <w:sz w:val="24"/>
        </w:rPr>
        <w:t xml:space="preserve">ИЗУЧЕНИЯ, РАЗВЕДКИ И ДОБЫЧИ ТРУДНОИЗВЛЕКАЕМЫХ ПОЛЕЗНЫХ</w:t>
      </w:r>
    </w:p>
    <w:p>
      <w:pPr>
        <w:pStyle w:val="2"/>
        <w:jc w:val="center"/>
      </w:pPr>
      <w:r>
        <w:rPr>
          <w:sz w:val="24"/>
        </w:rPr>
        <w:t xml:space="preserve">ИСКОПАЕМЫХ ИЛИ ПО СОВМЕЩЕННОЙ ЛИЦЕНЗИИ РАЗРАБОТКУ</w:t>
      </w:r>
    </w:p>
    <w:p>
      <w:pPr>
        <w:pStyle w:val="2"/>
        <w:jc w:val="center"/>
      </w:pPr>
      <w:r>
        <w:rPr>
          <w:sz w:val="24"/>
        </w:rPr>
        <w:t xml:space="preserve">ТЕХНОЛОГИЙ ГЕОЛОГИЧЕСКОГО ИЗУЧЕНИЯ, РАЗВЕДКИ И ДОБЫЧИ</w:t>
      </w:r>
    </w:p>
    <w:p>
      <w:pPr>
        <w:pStyle w:val="2"/>
        <w:jc w:val="center"/>
      </w:pPr>
      <w:r>
        <w:rPr>
          <w:sz w:val="24"/>
        </w:rPr>
        <w:t xml:space="preserve">ТРУДНОИЗВЛЕКАЕМЫХ ПОЛЕЗНЫХ ИСКОПАЕМЫХ, РАЗВЕДКУ</w:t>
      </w:r>
    </w:p>
    <w:p>
      <w:pPr>
        <w:pStyle w:val="2"/>
        <w:jc w:val="center"/>
      </w:pPr>
      <w:r>
        <w:rPr>
          <w:sz w:val="24"/>
        </w:rPr>
        <w:t xml:space="preserve">И ДОБЫЧУ ТАКИХ ПОЛЕЗНЫХ ИСКОПАЕМЫХ, В ГРАНИЦАХ</w:t>
      </w:r>
    </w:p>
    <w:p>
      <w:pPr>
        <w:pStyle w:val="2"/>
        <w:jc w:val="center"/>
      </w:pPr>
      <w:r>
        <w:rPr>
          <w:sz w:val="24"/>
        </w:rPr>
        <w:t xml:space="preserve">ПРЕДОСТАВЛЕННЫХ ИМ УЧАСТКОВ НЕДР НА ОСНОВАНИИ</w:t>
      </w:r>
    </w:p>
    <w:p>
      <w:pPr>
        <w:pStyle w:val="2"/>
        <w:jc w:val="center"/>
      </w:pPr>
      <w:r>
        <w:rPr>
          <w:sz w:val="24"/>
        </w:rPr>
        <w:t xml:space="preserve">УТВЕРЖДЕННОГО ТЕХНИЧЕСКОГО ПРОЕКТА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В соответствии с </w:t>
      </w:r>
      <w:r>
        <w:rPr>
          <w:sz w:val="24"/>
        </w:rPr>
        <w:t xml:space="preserve">частью второй статьи 19.1</w:t>
      </w:r>
      <w:r>
        <w:rPr>
          <w:sz w:val="24"/>
        </w:rPr>
        <w:t xml:space="preserve"> Закона Российской Федерации от 21 февраля 1992 г. N 2395-1 "О недрах" (Ведомости Съезда народных депутатов Российской Федерации и Верховного Совета Российской Федерации, 1992, N 16, ст. 834; Собрание законодательства Российской Федерации, 2020, N 24, ст. 3753), </w:t>
      </w:r>
      <w:r>
        <w:rPr>
          <w:sz w:val="24"/>
        </w:rPr>
        <w:t xml:space="preserve">подпунктом 5.2.25</w:t>
      </w:r>
      <w:r>
        <w:rPr>
          <w:sz w:val="24"/>
        </w:rPr>
        <w:t xml:space="preserve"> Положения о Министерстве природных ресурсов и экологии Российской Федерации, утвержденного постановлением Правительства Российской Федерации от 11 ноября 2015 г. N 1219 (Собрание законодательства Российской Федерации, 2015, N 47, ст. 6586; 2020, N 42, ст. 6635), приказываю: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1. Утвердить прилагаемое </w:t>
      </w:r>
      <w:hyperlink w:history="0" w:anchor="P45" w:tooltip="ПОЛОЖЕНИЕ">
        <w:r>
          <w:rPr>
            <w:sz w:val="24"/>
            <w:color w:val="0000ff"/>
          </w:rPr>
          <w:t xml:space="preserve">Положение</w:t>
        </w:r>
      </w:hyperlink>
      <w:r>
        <w:rPr>
          <w:sz w:val="24"/>
        </w:rPr>
        <w:t xml:space="preserve"> о порядке осуществления добычи подземных вод для собственных производственных и технологических нужд пользователями недр, осуществляющими разведку и добычу полезных ископаемых или по совмещенной лицензии геологическое изучение, разведку и добычу полезных ископаемых, разработку технологий геологического изучения, разведки и добычи трудноизвлекаемых полезных ископаемых или по совмещенной лицензии разработку технологий геологического изучения, разведки и добычи трудноизвлекаемых полезных ископаемых, разведку и добычу таких полезных ископаемых, в границах предоставленных им участков недр на основании утвержденного технического проекта.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2. Признать утратившим силу: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приказ</w:t>
      </w:r>
      <w:r>
        <w:rPr>
          <w:sz w:val="24"/>
        </w:rPr>
        <w:t xml:space="preserve"> Министерства природных ресурсов и экологии Российской Федерации России от 25 июня 2009 г. N 168 "Об утверждении Положения о порядке осуществления добычи подземных вод для собственных производственных и технологических нужд пользователями недр, осуществляющими разведку и добычу полезных ископаемых или по совмещенной лицензии геологическое изучение, разведку и добычу полезных ископаемых, в границах предоставленных им горных отводов и (или) геологических отводов на основании утвержденного технического проекта" (зарегистрирован Министерством юстиции Российской Федерации 25 сентября 2009 г., регистрационный N 14879);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приказ</w:t>
      </w:r>
      <w:r>
        <w:rPr>
          <w:sz w:val="24"/>
        </w:rPr>
        <w:t xml:space="preserve"> Министерства природных ресурсов и экологии Российской Федерации России от 15 июля 2011 г. N 632 "О внесении изменений в приказ Министерства природных ресурсов и экологии Российской Федерации от 25 июня 2009 г. N 168 "Об утверждении Положения о порядке осуществления добычи подземных вод (для технологического обеспечения водой) для собственных нужд пользователями недр, осуществляющими разведку и добычу полезных ископаемых или по совмещенной лицензии геологическое изучение, разведку и добычу полезных ископаемых, в границах предоставленных им горных отводов на основании утвержденного технического проекта" (зарегистрирован Министерством юстиции Российской Федерации 17 августа 2011 г., регистрационный N 21650).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3. Настоящий приказ вступает в силу 1 января 2021 г. и действует до 31 декабря 2026 г.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Министр</w:t>
      </w:r>
    </w:p>
    <w:p>
      <w:pPr>
        <w:pStyle w:val="0"/>
        <w:jc w:val="right"/>
      </w:pPr>
      <w:r>
        <w:rPr>
          <w:sz w:val="24"/>
        </w:rPr>
        <w:t xml:space="preserve">природных ресурсов и экологии</w:t>
      </w:r>
    </w:p>
    <w:p>
      <w:pPr>
        <w:pStyle w:val="0"/>
        <w:jc w:val="right"/>
      </w:pPr>
      <w:r>
        <w:rPr>
          <w:sz w:val="24"/>
        </w:rPr>
        <w:t xml:space="preserve">Российской Федерации</w:t>
      </w:r>
    </w:p>
    <w:p>
      <w:pPr>
        <w:pStyle w:val="0"/>
        <w:jc w:val="right"/>
      </w:pPr>
      <w:r>
        <w:rPr>
          <w:sz w:val="24"/>
        </w:rPr>
        <w:t xml:space="preserve">А.А.КОЗЛОВ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0"/>
        <w:jc w:val="right"/>
      </w:pPr>
      <w:r>
        <w:rPr>
          <w:sz w:val="24"/>
        </w:rPr>
        <w:t xml:space="preserve">Утверждено</w:t>
      </w:r>
    </w:p>
    <w:p>
      <w:pPr>
        <w:pStyle w:val="0"/>
        <w:jc w:val="right"/>
      </w:pPr>
      <w:r>
        <w:rPr>
          <w:sz w:val="24"/>
        </w:rPr>
        <w:t xml:space="preserve">приказом Минприроды России</w:t>
      </w:r>
    </w:p>
    <w:p>
      <w:pPr>
        <w:pStyle w:val="0"/>
        <w:jc w:val="right"/>
      </w:pPr>
      <w:r>
        <w:rPr>
          <w:sz w:val="24"/>
        </w:rPr>
        <w:t xml:space="preserve">от 01.12.2020 N 996</w:t>
      </w:r>
    </w:p>
    <w:p>
      <w:pPr>
        <w:pStyle w:val="0"/>
        <w:jc w:val="both"/>
      </w:pPr>
      <w:r>
        <w:rPr>
          <w:sz w:val="24"/>
        </w:rPr>
      </w:r>
    </w:p>
    <w:bookmarkStart w:id="45" w:name="P45"/>
    <w:bookmarkEnd w:id="45"/>
    <w:p>
      <w:pPr>
        <w:pStyle w:val="2"/>
        <w:jc w:val="center"/>
      </w:pPr>
      <w:r>
        <w:rPr>
          <w:sz w:val="24"/>
        </w:rPr>
        <w:t xml:space="preserve">ПОЛОЖЕНИЕ</w:t>
      </w:r>
    </w:p>
    <w:p>
      <w:pPr>
        <w:pStyle w:val="2"/>
        <w:jc w:val="center"/>
      </w:pPr>
      <w:r>
        <w:rPr>
          <w:sz w:val="24"/>
        </w:rPr>
        <w:t xml:space="preserve">О ПОРЯДКЕ ОСУЩЕСТВЛЕНИЯ ДОБЫЧИ ПОДЗЕМНЫХ ВОД</w:t>
      </w:r>
    </w:p>
    <w:p>
      <w:pPr>
        <w:pStyle w:val="2"/>
        <w:jc w:val="center"/>
      </w:pPr>
      <w:r>
        <w:rPr>
          <w:sz w:val="24"/>
        </w:rPr>
        <w:t xml:space="preserve">ДЛЯ СОБСТВЕННЫХ ПРОИЗВОДСТВЕННЫХ И ТЕХНОЛОГИЧЕСКИХ</w:t>
      </w:r>
    </w:p>
    <w:p>
      <w:pPr>
        <w:pStyle w:val="2"/>
        <w:jc w:val="center"/>
      </w:pPr>
      <w:r>
        <w:rPr>
          <w:sz w:val="24"/>
        </w:rPr>
        <w:t xml:space="preserve">НУЖД ПОЛЬЗОВАТЕЛЯМИ НЕДР, ОСУЩЕСТВЛЯЮЩИМИ РАЗВЕДКУ</w:t>
      </w:r>
    </w:p>
    <w:p>
      <w:pPr>
        <w:pStyle w:val="2"/>
        <w:jc w:val="center"/>
      </w:pPr>
      <w:r>
        <w:rPr>
          <w:sz w:val="24"/>
        </w:rPr>
        <w:t xml:space="preserve">И ДОБЫЧУ ПОЛЕЗНЫХ ИСКОПАЕМЫХ ИЛИ ПО СОВМЕЩЕННОЙ ЛИЦЕНЗИИ</w:t>
      </w:r>
    </w:p>
    <w:p>
      <w:pPr>
        <w:pStyle w:val="2"/>
        <w:jc w:val="center"/>
      </w:pPr>
      <w:r>
        <w:rPr>
          <w:sz w:val="24"/>
        </w:rPr>
        <w:t xml:space="preserve">ГЕОЛОГИЧЕСКОЕ ИЗУЧЕНИЕ, РАЗВЕДКУ И ДОБЫЧУ ПОЛЕЗНЫХ</w:t>
      </w:r>
    </w:p>
    <w:p>
      <w:pPr>
        <w:pStyle w:val="2"/>
        <w:jc w:val="center"/>
      </w:pPr>
      <w:r>
        <w:rPr>
          <w:sz w:val="24"/>
        </w:rPr>
        <w:t xml:space="preserve">ИСКОПАЕМЫХ, РАЗРАБОТКУ ТЕХНОЛОГИЙ ГЕОЛОГИЧЕСКОГО</w:t>
      </w:r>
    </w:p>
    <w:p>
      <w:pPr>
        <w:pStyle w:val="2"/>
        <w:jc w:val="center"/>
      </w:pPr>
      <w:r>
        <w:rPr>
          <w:sz w:val="24"/>
        </w:rPr>
        <w:t xml:space="preserve">ИЗУЧЕНИЯ, РАЗВЕДКИ И ДОБЫЧИ ТРУДНОИЗВЛЕКАЕМЫХ ПОЛЕЗНЫХ</w:t>
      </w:r>
    </w:p>
    <w:p>
      <w:pPr>
        <w:pStyle w:val="2"/>
        <w:jc w:val="center"/>
      </w:pPr>
      <w:r>
        <w:rPr>
          <w:sz w:val="24"/>
        </w:rPr>
        <w:t xml:space="preserve">ИСКОПАЕМЫХ ИЛИ ПО СОВМЕЩЕННОЙ ЛИЦЕНЗИИ РАЗРАБОТКУ</w:t>
      </w:r>
    </w:p>
    <w:p>
      <w:pPr>
        <w:pStyle w:val="2"/>
        <w:jc w:val="center"/>
      </w:pPr>
      <w:r>
        <w:rPr>
          <w:sz w:val="24"/>
        </w:rPr>
        <w:t xml:space="preserve">ТЕХНОЛОГИЙ ГЕОЛОГИЧЕСКОГО ИЗУЧЕНИЯ, РАЗВЕДКИ И ДОБЫЧИ</w:t>
      </w:r>
    </w:p>
    <w:p>
      <w:pPr>
        <w:pStyle w:val="2"/>
        <w:jc w:val="center"/>
      </w:pPr>
      <w:r>
        <w:rPr>
          <w:sz w:val="24"/>
        </w:rPr>
        <w:t xml:space="preserve">ТРУДНОИЗВЛЕКАЕМЫХ ПОЛЕЗНЫХ ИСКОПАЕМЫХ, РАЗВЕДКУ</w:t>
      </w:r>
    </w:p>
    <w:p>
      <w:pPr>
        <w:pStyle w:val="2"/>
        <w:jc w:val="center"/>
      </w:pPr>
      <w:r>
        <w:rPr>
          <w:sz w:val="24"/>
        </w:rPr>
        <w:t xml:space="preserve">И ДОБЫЧУ ТАКИХ ПОЛЕЗНЫХ ИСКОПАЕМЫХ, В ГРАНИЦАХ</w:t>
      </w:r>
    </w:p>
    <w:p>
      <w:pPr>
        <w:pStyle w:val="2"/>
        <w:jc w:val="center"/>
      </w:pPr>
      <w:r>
        <w:rPr>
          <w:sz w:val="24"/>
        </w:rPr>
        <w:t xml:space="preserve">ПРЕДОСТАВЛЕННЫХ ИМ УЧАСТКОВ НЕДР НА ОСНОВАНИИ</w:t>
      </w:r>
    </w:p>
    <w:p>
      <w:pPr>
        <w:pStyle w:val="2"/>
        <w:jc w:val="center"/>
      </w:pPr>
      <w:r>
        <w:rPr>
          <w:sz w:val="24"/>
        </w:rPr>
        <w:t xml:space="preserve">УТВЕРЖДЕННОГО ТЕХНИЧЕСКОГО ПРОЕКТА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Настоящее Положение разработано в соответствии с </w:t>
      </w:r>
      <w:r>
        <w:rPr>
          <w:sz w:val="24"/>
        </w:rPr>
        <w:t xml:space="preserve">частью второй статьи 19.1</w:t>
      </w:r>
      <w:r>
        <w:rPr>
          <w:sz w:val="24"/>
        </w:rPr>
        <w:t xml:space="preserve"> Закона Российской Федерации от 21 февраля 1992 г. N 2395-1 "О недрах" (Ведомости Съезда народных депутатов Российской Федерации и Верховного Совета Российской Федерации, 1992, N 16, ст. 834; Собрание законодательства Российской Федерации, 2020, N 24, ст. 3753) (далее - Закон Российской Федерации "О недрах"), </w:t>
      </w:r>
      <w:r>
        <w:rPr>
          <w:sz w:val="24"/>
        </w:rPr>
        <w:t xml:space="preserve">подпунктом 5.2.25</w:t>
      </w:r>
      <w:r>
        <w:rPr>
          <w:sz w:val="24"/>
        </w:rPr>
        <w:t xml:space="preserve"> Положения о Министерстве природных ресурсов и экологии Российской Федерации, утвержденного постановлением Правительства Российской Федерации от 11 ноября 2015 г. N 1219 (Собрание законодательства Российской Федерации, 2015, N 47 ст. 6586; 2020, N 42, ст. 6635), и устанавливает порядок добычи подземных вод для собственных производственных и технологических нужд пользователями недр, осуществляющими разведку и добычу полезных ископаемых или по совмещенной лицензии геологическое изучение, разведку и добычу полезных ископаемых, разработку технологий геологического изучения, разведки и добычи трудноизвлекаемых полезных ископаемых или по совмещенной лицензии разработку технологий геологического изучения, разведки и добычи трудноизвлекаемых полезных ископаемых, разведку и добычу таких полезных ископаемых, в границах предоставленных им участков недр на основании утвержденного технического проекта.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2. В соответствии с </w:t>
      </w:r>
      <w:r>
        <w:rPr>
          <w:sz w:val="24"/>
        </w:rPr>
        <w:t xml:space="preserve">частью второй статьи 19.1</w:t>
      </w:r>
      <w:r>
        <w:rPr>
          <w:sz w:val="24"/>
        </w:rPr>
        <w:t xml:space="preserve"> Закона Российской Федерации "О недрах" пользователи недр, осуществляющие разведку и добычу полезных ископаемых или по совмещенной лицензии геологическое изучение, разведку и добычу полезных ископаемых, разработку технологий геологического изучения, разведки и добычи трудноизвлекаемых полезных ископаемых или по совмещенной лицензии разработку технологий геологического изучения, разведки и добычи трудноизвлекаемых полезных ископаемых, разведку и добычу таких полезных ископаемых, в границах предоставленных им участков недр имеют право на основании утвержденного технического проекта для собственных производственных и технологических нужд осуществлять добычу подземных вод.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3. Основанием для осуществления права пользования недрами с целью добычи подземных вод для собственных производственных и технологических нужд является наличие у пользователя недр лицензии на пользование недрами с целью разведки и добычи полезных ископаемых или совмещенной лицензии с целью геологического изучения, разведки и добычи полезных ископаемых, или лицензии с целью разработки технологий геологического изучения, разведки и добычи трудноизвлекаемых полезных ископаемых или по совмещенной лицензии с целью разработки технологий геологического изучения, разведки и добычи трудноизвлекаемых полезных ископаемых, разведки и добычи таких полезных ископаемых, и утвержденного технического проекта на добычу подземных вод.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4. Проектная документация на добычу подземных вод для собственных производственных и технологических нужд при осуществлении пользователями недр разведки и добычи иных видов полезных ископаемых или по совмещенной лицензии геологического изучения, разведки и добычи иных видов полезных ископаемых в границах предоставленных им участков недр, при разработке технологий геологического изучения, разведки и добычи трудноизвлекаемых полезных ископаемых или по совмещенной лицензии разработке технологий геологического изучения, разведки и добычи трудноизвлекаемых полезных ископаемых, разведке и добыче таких полезных ископаемых, в границах предоставленных им участков недр разрабатывается, согласовывается и утверждается в порядке, предусмотренном </w:t>
      </w:r>
      <w:r>
        <w:rPr>
          <w:sz w:val="24"/>
        </w:rPr>
        <w:t xml:space="preserve">статьей 23.2</w:t>
      </w:r>
      <w:r>
        <w:rPr>
          <w:sz w:val="24"/>
        </w:rPr>
        <w:t xml:space="preserve"> Закона Российской Федерации "О недрах".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5. Пользователь недр лично, почтовым отправлением или с использованием Портала недропользователей и геологических организаций "Личный кабинет недропользователя" на официальном сайте Федерального агентства по недропользованию в информационно-телекоммуникационной сети "Интернет" (далее - Личный кабинет недропользователя) направляет учетную карточку буровой скважины на воду в территориальный фонд геологической информации по месту нахождения участка недр.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Учетная карточка буровой скважины на воду направляется пользователем недр не позднее 15 рабочих дней до дня осуществления добычи подземных вод для собственных производственных и технологических нужд.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Рекомендуемый </w:t>
      </w:r>
      <w:hyperlink w:history="0" w:anchor="P102" w:tooltip="РЕКОМЕНДУЕМЫЙ ОБРАЗЕЦ УЧЕТНОЙ КАРТОЧКИ">
        <w:r>
          <w:rPr>
            <w:sz w:val="24"/>
            <w:color w:val="0000ff"/>
          </w:rPr>
          <w:t xml:space="preserve">образец</w:t>
        </w:r>
      </w:hyperlink>
      <w:r>
        <w:rPr>
          <w:sz w:val="24"/>
        </w:rPr>
        <w:t xml:space="preserve"> учетной карточки буровой скважины на воду приведен в приложении N 1 к настоящему Положению.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Рекомендуемый </w:t>
      </w:r>
      <w:hyperlink w:history="0" w:anchor="P222" w:tooltip="РЕКОМЕНДУЕМЫЙ ОБРАЗЕЦ ЗАПОЛНЕНИЯ">
        <w:r>
          <w:rPr>
            <w:sz w:val="24"/>
            <w:color w:val="0000ff"/>
          </w:rPr>
          <w:t xml:space="preserve">образец</w:t>
        </w:r>
      </w:hyperlink>
      <w:r>
        <w:rPr>
          <w:sz w:val="24"/>
        </w:rPr>
        <w:t xml:space="preserve"> заполнения учетной карточки буровой скважины на воду приведен в приложении N 2 к настоящему Положению.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6. Территориальный фонд геологической информации по месту нахождения участка недр в течение 5 рабочих дней со дня поступления учетной карточки буровой скважины на воду осуществляет ее регистрацию и в электронном виде извещает пользователя недр об этом на адрес электронной почты, указанный в учетной карточке буровой скважины на воду. Пользователь недр вправе дополнительно получить извещение о регистрации учетной карточки буровой скважины на воду на бумажном носителе на основании заявления о получении указанного извещения на бумажном носителе.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7. При добыче подземных вод для собственных производственных и технологических нужд пользователи недр обязаны соблюдать </w:t>
      </w:r>
      <w:r>
        <w:rPr>
          <w:sz w:val="24"/>
        </w:rPr>
        <w:t xml:space="preserve">требования</w:t>
      </w:r>
      <w:r>
        <w:rPr>
          <w:sz w:val="24"/>
        </w:rPr>
        <w:t xml:space="preserve"> по рациональному использованию и охране недр и </w:t>
      </w:r>
      <w:r>
        <w:rPr>
          <w:sz w:val="24"/>
        </w:rPr>
        <w:t xml:space="preserve">требования</w:t>
      </w:r>
      <w:r>
        <w:rPr>
          <w:sz w:val="24"/>
        </w:rPr>
        <w:t xml:space="preserve"> по безопасному ведению работ, связанных с пользованием недрами.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Не допускается превышение показателя среднегодового объема добычи подземных вод для собственных производственных и технологических нужд, установленном в техническом проекте на добычу подземных вод.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8. При добыче подземных вод для собственных производственных и технологических нужд пользователь недр направляет достоверные данные об использовании недр в указанных целях в соответствии с утвержденными </w:t>
      </w:r>
      <w:r>
        <w:rPr>
          <w:sz w:val="24"/>
        </w:rPr>
        <w:t xml:space="preserve">формами</w:t>
      </w:r>
      <w:r>
        <w:rPr>
          <w:sz w:val="24"/>
        </w:rPr>
        <w:t xml:space="preserve"> федерального статистического наблюдения &lt;1&gt; в территориальный орган Федерального агентства по недропользованию по месту нахождения участка недр.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--------------------------------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&lt;1&gt; </w:t>
      </w:r>
      <w:r>
        <w:rPr>
          <w:sz w:val="24"/>
        </w:rPr>
        <w:t xml:space="preserve">Пункт 4</w:t>
      </w:r>
      <w:r>
        <w:rPr>
          <w:sz w:val="24"/>
        </w:rPr>
        <w:t xml:space="preserve"> Положения об условиях предоставления в обязательном порядке первичных статистических данных и административных данных субъектам официального статистического учета, утвержденного постановлением Правительства Российской Федерации от 18 августа 2008 г. N 620 (Собрание законодательства Российской Федерации, 2008, N 34, ст. 3929; 2015, N 17, ст. 2573).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1"/>
        <w:jc w:val="right"/>
      </w:pPr>
      <w:r>
        <w:rPr>
          <w:sz w:val="24"/>
        </w:rPr>
        <w:t xml:space="preserve">Приложение N 1</w:t>
      </w:r>
    </w:p>
    <w:p>
      <w:pPr>
        <w:pStyle w:val="0"/>
        <w:jc w:val="right"/>
      </w:pPr>
      <w:r>
        <w:rPr>
          <w:sz w:val="24"/>
        </w:rPr>
        <w:t xml:space="preserve">к Положению о порядке осуществления</w:t>
      </w:r>
    </w:p>
    <w:p>
      <w:pPr>
        <w:pStyle w:val="0"/>
        <w:jc w:val="right"/>
      </w:pPr>
      <w:r>
        <w:rPr>
          <w:sz w:val="24"/>
        </w:rPr>
        <w:t xml:space="preserve">добычи подземных вод для собственных</w:t>
      </w:r>
    </w:p>
    <w:p>
      <w:pPr>
        <w:pStyle w:val="0"/>
        <w:jc w:val="right"/>
      </w:pPr>
      <w:r>
        <w:rPr>
          <w:sz w:val="24"/>
        </w:rPr>
        <w:t xml:space="preserve">производственных и технологических нужд</w:t>
      </w:r>
    </w:p>
    <w:p>
      <w:pPr>
        <w:pStyle w:val="0"/>
        <w:jc w:val="right"/>
      </w:pPr>
      <w:r>
        <w:rPr>
          <w:sz w:val="24"/>
        </w:rPr>
        <w:t xml:space="preserve">пользователями недр, осуществляющими</w:t>
      </w:r>
    </w:p>
    <w:p>
      <w:pPr>
        <w:pStyle w:val="0"/>
        <w:jc w:val="right"/>
      </w:pPr>
      <w:r>
        <w:rPr>
          <w:sz w:val="24"/>
        </w:rPr>
        <w:t xml:space="preserve">разведку и добычу полезных ископаемых</w:t>
      </w:r>
    </w:p>
    <w:p>
      <w:pPr>
        <w:pStyle w:val="0"/>
        <w:jc w:val="right"/>
      </w:pPr>
      <w:r>
        <w:rPr>
          <w:sz w:val="24"/>
        </w:rPr>
        <w:t xml:space="preserve">или по совмещенной лицензии</w:t>
      </w:r>
    </w:p>
    <w:p>
      <w:pPr>
        <w:pStyle w:val="0"/>
        <w:jc w:val="right"/>
      </w:pPr>
      <w:r>
        <w:rPr>
          <w:sz w:val="24"/>
        </w:rPr>
        <w:t xml:space="preserve">геологическое изучение, разведку</w:t>
      </w:r>
    </w:p>
    <w:p>
      <w:pPr>
        <w:pStyle w:val="0"/>
        <w:jc w:val="right"/>
      </w:pPr>
      <w:r>
        <w:rPr>
          <w:sz w:val="24"/>
        </w:rPr>
        <w:t xml:space="preserve">и добычу полезных ископаемых,</w:t>
      </w:r>
    </w:p>
    <w:p>
      <w:pPr>
        <w:pStyle w:val="0"/>
        <w:jc w:val="right"/>
      </w:pPr>
      <w:r>
        <w:rPr>
          <w:sz w:val="24"/>
        </w:rPr>
        <w:t xml:space="preserve">разработку технологий геологического</w:t>
      </w:r>
    </w:p>
    <w:p>
      <w:pPr>
        <w:pStyle w:val="0"/>
        <w:jc w:val="right"/>
      </w:pPr>
      <w:r>
        <w:rPr>
          <w:sz w:val="24"/>
        </w:rPr>
        <w:t xml:space="preserve">изучения, разведки и добычи</w:t>
      </w:r>
    </w:p>
    <w:p>
      <w:pPr>
        <w:pStyle w:val="0"/>
        <w:jc w:val="right"/>
      </w:pPr>
      <w:r>
        <w:rPr>
          <w:sz w:val="24"/>
        </w:rPr>
        <w:t xml:space="preserve">трудноизвлекаемых полезных ископаемых</w:t>
      </w:r>
    </w:p>
    <w:p>
      <w:pPr>
        <w:pStyle w:val="0"/>
        <w:jc w:val="right"/>
      </w:pPr>
      <w:r>
        <w:rPr>
          <w:sz w:val="24"/>
        </w:rPr>
        <w:t xml:space="preserve">или по совмещенной лицензии разработку</w:t>
      </w:r>
    </w:p>
    <w:p>
      <w:pPr>
        <w:pStyle w:val="0"/>
        <w:jc w:val="right"/>
      </w:pPr>
      <w:r>
        <w:rPr>
          <w:sz w:val="24"/>
        </w:rPr>
        <w:t xml:space="preserve">технологий геологического изучения,</w:t>
      </w:r>
    </w:p>
    <w:p>
      <w:pPr>
        <w:pStyle w:val="0"/>
        <w:jc w:val="right"/>
      </w:pPr>
      <w:r>
        <w:rPr>
          <w:sz w:val="24"/>
        </w:rPr>
        <w:t xml:space="preserve">разведки и добычи трудноизвлекаемых</w:t>
      </w:r>
    </w:p>
    <w:p>
      <w:pPr>
        <w:pStyle w:val="0"/>
        <w:jc w:val="right"/>
      </w:pPr>
      <w:r>
        <w:rPr>
          <w:sz w:val="24"/>
        </w:rPr>
        <w:t xml:space="preserve">полезных ископаемых, разведку</w:t>
      </w:r>
    </w:p>
    <w:p>
      <w:pPr>
        <w:pStyle w:val="0"/>
        <w:jc w:val="right"/>
      </w:pPr>
      <w:r>
        <w:rPr>
          <w:sz w:val="24"/>
        </w:rPr>
        <w:t xml:space="preserve">и добычу таких полезных ископаемых,</w:t>
      </w:r>
    </w:p>
    <w:p>
      <w:pPr>
        <w:pStyle w:val="0"/>
        <w:jc w:val="right"/>
      </w:pPr>
      <w:r>
        <w:rPr>
          <w:sz w:val="24"/>
        </w:rPr>
        <w:t xml:space="preserve">в границах предоставленных им участков</w:t>
      </w:r>
    </w:p>
    <w:p>
      <w:pPr>
        <w:pStyle w:val="0"/>
        <w:jc w:val="right"/>
      </w:pPr>
      <w:r>
        <w:rPr>
          <w:sz w:val="24"/>
        </w:rPr>
        <w:t xml:space="preserve">недр на основании утвержденного</w:t>
      </w:r>
    </w:p>
    <w:p>
      <w:pPr>
        <w:pStyle w:val="0"/>
        <w:jc w:val="right"/>
      </w:pPr>
      <w:r>
        <w:rPr>
          <w:sz w:val="24"/>
        </w:rPr>
        <w:t xml:space="preserve">технического проекта, утвержденному</w:t>
      </w:r>
    </w:p>
    <w:p>
      <w:pPr>
        <w:pStyle w:val="0"/>
        <w:jc w:val="right"/>
      </w:pPr>
      <w:r>
        <w:rPr>
          <w:sz w:val="24"/>
        </w:rPr>
        <w:t xml:space="preserve">приказом Минприроды России</w:t>
      </w:r>
    </w:p>
    <w:p>
      <w:pPr>
        <w:pStyle w:val="0"/>
        <w:jc w:val="right"/>
      </w:pPr>
      <w:r>
        <w:rPr>
          <w:sz w:val="24"/>
        </w:rPr>
        <w:t xml:space="preserve">от 01.12.2020 N 996</w:t>
      </w:r>
    </w:p>
    <w:p>
      <w:pPr>
        <w:pStyle w:val="0"/>
        <w:jc w:val="both"/>
      </w:pPr>
      <w:r>
        <w:rPr>
          <w:sz w:val="24"/>
        </w:rPr>
      </w:r>
    </w:p>
    <w:bookmarkStart w:id="102" w:name="P102"/>
    <w:bookmarkEnd w:id="102"/>
    <w:p>
      <w:pPr>
        <w:pStyle w:val="0"/>
        <w:jc w:val="center"/>
      </w:pPr>
      <w:r>
        <w:rPr>
          <w:sz w:val="24"/>
        </w:rPr>
        <w:t xml:space="preserve">РЕКОМЕНДУЕМЫЙ ОБРАЗЕЦ УЧЕТНОЙ КАРТОЧКИ</w:t>
      </w:r>
    </w:p>
    <w:p>
      <w:pPr>
        <w:pStyle w:val="0"/>
        <w:jc w:val="center"/>
      </w:pPr>
      <w:r>
        <w:rPr>
          <w:sz w:val="24"/>
        </w:rPr>
        <w:t xml:space="preserve">БУРОВОЙ СКВАЖИНЫ НА ВОДУ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133"/>
        <w:gridCol w:w="6803"/>
        <w:gridCol w:w="1133"/>
      </w:tblGrid>
      <w:tr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803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6803" w:type="dxa"/>
            <w:tcBorders>
              <w:top w:val="single" w:sz="4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(наименование организации, адрес электронной почты)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9069"/>
      </w:tblGrid>
      <w:tr>
        <w:tc>
          <w:tcPr>
            <w:tcW w:w="9069" w:type="dxa"/>
            <w:tcBorders>
              <w:top w:val="nil"/>
              <w:left w:val="nil"/>
              <w:bottom w:val="nil"/>
              <w:right w:val="nil"/>
            </w:tcBorders>
          </w:tcPr>
          <w:bookmarkStart w:id="112" w:name="P112"/>
          <w:bookmarkEnd w:id="112"/>
          <w:p>
            <w:pPr>
              <w:pStyle w:val="0"/>
              <w:jc w:val="center"/>
            </w:pPr>
            <w:r>
              <w:rPr>
                <w:sz w:val="24"/>
              </w:rPr>
              <w:t xml:space="preserve">УЧЕТНАЯ КАРТОЧКА</w:t>
            </w:r>
          </w:p>
        </w:tc>
      </w:tr>
      <w:tr>
        <w:tc>
          <w:tcPr>
            <w:tcW w:w="906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буровой скважины на воду N __________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bookmarkStart w:id="115" w:name="P115"/>
    <w:bookmarkEnd w:id="115"/>
    <w:p>
      <w:pPr>
        <w:pStyle w:val="1"/>
        <w:jc w:val="both"/>
      </w:pPr>
      <w:r>
        <w:rPr>
          <w:sz w:val="20"/>
        </w:rPr>
        <w:t xml:space="preserve">1. Наименование субъекта Российской Федерации _____________________________</w:t>
      </w:r>
    </w:p>
    <w:bookmarkStart w:id="116" w:name="P116"/>
    <w:bookmarkEnd w:id="116"/>
    <w:p>
      <w:pPr>
        <w:pStyle w:val="1"/>
        <w:jc w:val="both"/>
      </w:pPr>
      <w:r>
        <w:rPr>
          <w:sz w:val="20"/>
        </w:rPr>
        <w:t xml:space="preserve">2.  Местоположение  скважины  (водный  объект,  населенный  пункт,  элемент</w:t>
      </w:r>
    </w:p>
    <w:p>
      <w:pPr>
        <w:pStyle w:val="1"/>
        <w:jc w:val="both"/>
      </w:pPr>
      <w:r>
        <w:rPr>
          <w:sz w:val="20"/>
        </w:rPr>
        <w:t xml:space="preserve">рельефа) __________________________________________________________________</w:t>
      </w:r>
    </w:p>
    <w:bookmarkStart w:id="118" w:name="P118"/>
    <w:bookmarkEnd w:id="118"/>
    <w:p>
      <w:pPr>
        <w:pStyle w:val="1"/>
        <w:jc w:val="both"/>
      </w:pPr>
      <w:r>
        <w:rPr>
          <w:sz w:val="20"/>
        </w:rPr>
        <w:t xml:space="preserve">3. Номенклатура листа топографической карты масштаба 1:200 000 ____________</w:t>
      </w:r>
    </w:p>
    <w:bookmarkStart w:id="119" w:name="P119"/>
    <w:bookmarkEnd w:id="119"/>
    <w:p>
      <w:pPr>
        <w:pStyle w:val="1"/>
        <w:jc w:val="both"/>
      </w:pPr>
      <w:r>
        <w:rPr>
          <w:sz w:val="20"/>
        </w:rPr>
        <w:t xml:space="preserve">4. Географические координаты: северная широта ____ восточная долгота ______</w:t>
      </w:r>
    </w:p>
    <w:bookmarkStart w:id="120" w:name="P120"/>
    <w:bookmarkEnd w:id="120"/>
    <w:p>
      <w:pPr>
        <w:pStyle w:val="1"/>
        <w:jc w:val="both"/>
      </w:pPr>
      <w:r>
        <w:rPr>
          <w:sz w:val="20"/>
        </w:rPr>
        <w:t xml:space="preserve">5. Абсолютная отметка устья скважины ______________________________________</w:t>
      </w:r>
    </w:p>
    <w:bookmarkStart w:id="121" w:name="P121"/>
    <w:bookmarkEnd w:id="121"/>
    <w:p>
      <w:pPr>
        <w:pStyle w:val="1"/>
        <w:jc w:val="both"/>
      </w:pPr>
      <w:r>
        <w:rPr>
          <w:sz w:val="20"/>
        </w:rPr>
        <w:t xml:space="preserve">6. Назначение скважины и сведения об ее использовании _____________________</w:t>
      </w:r>
    </w:p>
    <w:bookmarkStart w:id="122" w:name="P122"/>
    <w:bookmarkEnd w:id="122"/>
    <w:p>
      <w:pPr>
        <w:pStyle w:val="1"/>
        <w:jc w:val="both"/>
      </w:pPr>
      <w:r>
        <w:rPr>
          <w:sz w:val="20"/>
        </w:rPr>
        <w:t xml:space="preserve">7. Наименование организации, выполнявшей бурение, и год бурения ___________</w:t>
      </w:r>
    </w:p>
    <w:bookmarkStart w:id="123" w:name="P123"/>
    <w:bookmarkEnd w:id="123"/>
    <w:p>
      <w:pPr>
        <w:pStyle w:val="1"/>
        <w:jc w:val="both"/>
      </w:pPr>
      <w:r>
        <w:rPr>
          <w:sz w:val="20"/>
        </w:rPr>
        <w:t xml:space="preserve">8.  Реквизиты  проектной  документации,  на  основании  которой  составлена</w:t>
      </w:r>
    </w:p>
    <w:p>
      <w:pPr>
        <w:pStyle w:val="1"/>
        <w:jc w:val="both"/>
      </w:pPr>
      <w:r>
        <w:rPr>
          <w:sz w:val="20"/>
        </w:rPr>
        <w:t xml:space="preserve">учетная карточка, N скважины ______________________________________________</w:t>
      </w:r>
    </w:p>
    <w:bookmarkStart w:id="125" w:name="P125"/>
    <w:bookmarkEnd w:id="125"/>
    <w:p>
      <w:pPr>
        <w:pStyle w:val="1"/>
        <w:jc w:val="both"/>
      </w:pPr>
      <w:r>
        <w:rPr>
          <w:sz w:val="20"/>
        </w:rPr>
        <w:t xml:space="preserve">9.  Место  хранения проектной документации, на основании которой составлена</w:t>
      </w:r>
    </w:p>
    <w:p>
      <w:pPr>
        <w:pStyle w:val="1"/>
        <w:jc w:val="both"/>
      </w:pPr>
      <w:r>
        <w:rPr>
          <w:sz w:val="20"/>
        </w:rPr>
        <w:t xml:space="preserve">учетная карточка __________________________________________________________</w:t>
      </w:r>
    </w:p>
    <w:bookmarkStart w:id="127" w:name="P127"/>
    <w:bookmarkEnd w:id="127"/>
    <w:p>
      <w:pPr>
        <w:pStyle w:val="1"/>
        <w:jc w:val="both"/>
      </w:pPr>
      <w:r>
        <w:rPr>
          <w:sz w:val="20"/>
        </w:rPr>
        <w:t xml:space="preserve">10. Глубина скважины в метрах _____________________________________________</w:t>
      </w:r>
    </w:p>
    <w:bookmarkStart w:id="128" w:name="P128"/>
    <w:bookmarkEnd w:id="128"/>
    <w:p>
      <w:pPr>
        <w:pStyle w:val="1"/>
        <w:jc w:val="both"/>
      </w:pPr>
      <w:r>
        <w:rPr>
          <w:sz w:val="20"/>
        </w:rPr>
        <w:t xml:space="preserve">11. Балансовая стоимость скважины (тыс. руб.) _____________________________</w:t>
      </w:r>
    </w:p>
    <w:bookmarkStart w:id="129" w:name="P129"/>
    <w:bookmarkEnd w:id="129"/>
    <w:p>
      <w:pPr>
        <w:pStyle w:val="1"/>
        <w:jc w:val="both"/>
      </w:pPr>
      <w:r>
        <w:rPr>
          <w:sz w:val="20"/>
        </w:rPr>
        <w:t xml:space="preserve">12. Конструкция и оборудование ____________________________________________</w:t>
      </w:r>
    </w:p>
    <w:bookmarkStart w:id="130" w:name="P130"/>
    <w:bookmarkEnd w:id="130"/>
    <w:p>
      <w:pPr>
        <w:pStyle w:val="1"/>
        <w:jc w:val="both"/>
      </w:pPr>
      <w:r>
        <w:rPr>
          <w:sz w:val="20"/>
        </w:rPr>
        <w:t xml:space="preserve">13.  Дебит  в  литрах  в  секунду  (числитель),  понижение  уровня в метрах</w:t>
      </w:r>
    </w:p>
    <w:p>
      <w:pPr>
        <w:pStyle w:val="1"/>
        <w:jc w:val="both"/>
      </w:pPr>
      <w:r>
        <w:rPr>
          <w:sz w:val="20"/>
        </w:rPr>
        <w:t xml:space="preserve">(знаменатель),  удельный  дебит  в  литрах  в  секунду,  дата  производства</w:t>
      </w:r>
    </w:p>
    <w:p>
      <w:pPr>
        <w:pStyle w:val="1"/>
        <w:jc w:val="both"/>
      </w:pPr>
      <w:r>
        <w:rPr>
          <w:sz w:val="20"/>
        </w:rPr>
        <w:t xml:space="preserve">строительной откачки или опыта ____________________________________________</w:t>
      </w:r>
    </w:p>
    <w:bookmarkStart w:id="133" w:name="P133"/>
    <w:bookmarkEnd w:id="133"/>
    <w:p>
      <w:pPr>
        <w:pStyle w:val="1"/>
        <w:jc w:val="both"/>
      </w:pPr>
      <w:r>
        <w:rPr>
          <w:sz w:val="20"/>
        </w:rPr>
        <w:t xml:space="preserve">14. Геологический разрез и сведения о водоносности: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734"/>
        <w:gridCol w:w="1587"/>
        <w:gridCol w:w="737"/>
        <w:gridCol w:w="964"/>
        <w:gridCol w:w="964"/>
        <w:gridCol w:w="1757"/>
        <w:gridCol w:w="1157"/>
        <w:gridCol w:w="1134"/>
      </w:tblGrid>
      <w:tr>
        <w:tc>
          <w:tcPr>
            <w:tcW w:w="73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Номер слоя</w:t>
            </w:r>
          </w:p>
        </w:tc>
        <w:tc>
          <w:tcPr>
            <w:tcW w:w="1587" w:type="dxa"/>
            <w:vMerge w:val="restart"/>
          </w:tcPr>
          <w:bookmarkStart w:id="136" w:name="P136"/>
          <w:bookmarkEnd w:id="136"/>
          <w:p>
            <w:pPr>
              <w:pStyle w:val="0"/>
              <w:jc w:val="center"/>
            </w:pPr>
            <w:r>
              <w:rPr>
                <w:sz w:val="24"/>
              </w:rPr>
              <w:t xml:space="preserve">Литологическое описание (наименование водовмещающих пород)</w:t>
            </w:r>
          </w:p>
        </w:tc>
        <w:tc>
          <w:tcPr>
            <w:tcW w:w="737" w:type="dxa"/>
            <w:vMerge w:val="restart"/>
          </w:tcPr>
          <w:bookmarkStart w:id="137" w:name="P137"/>
          <w:bookmarkEnd w:id="137"/>
          <w:p>
            <w:pPr>
              <w:pStyle w:val="0"/>
              <w:jc w:val="center"/>
            </w:pPr>
            <w:r>
              <w:rPr>
                <w:sz w:val="24"/>
              </w:rPr>
              <w:t xml:space="preserve">Геолологический индекс</w:t>
            </w:r>
          </w:p>
        </w:tc>
        <w:tc>
          <w:tcPr>
            <w:tcW w:w="96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Мощность слоя (метры)</w:t>
            </w:r>
          </w:p>
        </w:tc>
        <w:tc>
          <w:tcPr>
            <w:tcW w:w="96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Глубина подошвы слоя (метры)</w:t>
            </w:r>
          </w:p>
        </w:tc>
        <w:tc>
          <w:tcPr>
            <w:tcW w:w="1757" w:type="dxa"/>
          </w:tcPr>
          <w:bookmarkStart w:id="140" w:name="P140"/>
          <w:bookmarkEnd w:id="140"/>
          <w:p>
            <w:pPr>
              <w:pStyle w:val="0"/>
              <w:jc w:val="center"/>
            </w:pPr>
            <w:r>
              <w:rPr>
                <w:sz w:val="24"/>
              </w:rPr>
              <w:t xml:space="preserve">Порядковый N водонапорного горизонта</w:t>
            </w:r>
          </w:p>
        </w:tc>
        <w:tc>
          <w:tcPr>
            <w:tcW w:w="1157" w:type="dxa"/>
            <w:vMerge w:val="restart"/>
          </w:tcPr>
          <w:bookmarkStart w:id="141" w:name="P141"/>
          <w:bookmarkEnd w:id="141"/>
          <w:p>
            <w:pPr>
              <w:pStyle w:val="0"/>
              <w:jc w:val="center"/>
            </w:pPr>
            <w:r>
              <w:rPr>
                <w:sz w:val="24"/>
              </w:rPr>
              <w:t xml:space="preserve">Глубина появления воды (метры)</w:t>
            </w:r>
          </w:p>
        </w:tc>
        <w:tc>
          <w:tcPr>
            <w:tcW w:w="1134" w:type="dxa"/>
            <w:vMerge w:val="restart"/>
          </w:tcPr>
          <w:bookmarkStart w:id="142" w:name="P142"/>
          <w:bookmarkEnd w:id="142"/>
          <w:p>
            <w:pPr>
              <w:pStyle w:val="0"/>
              <w:jc w:val="center"/>
            </w:pPr>
            <w:r>
              <w:rPr>
                <w:sz w:val="24"/>
              </w:rPr>
              <w:t xml:space="preserve">Установленный уровень (метры)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Глубина залегания (от - до в метрах)</w:t>
            </w:r>
          </w:p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</w:tr>
      <w:tr>
        <w:tc>
          <w:tcPr>
            <w:tcW w:w="73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58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3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75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5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3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bookmarkStart w:id="153" w:name="P153"/>
    <w:bookmarkEnd w:id="153"/>
    <w:p>
      <w:pPr>
        <w:pStyle w:val="1"/>
        <w:jc w:val="both"/>
      </w:pPr>
      <w:r>
        <w:rPr>
          <w:sz w:val="20"/>
        </w:rPr>
        <w:t xml:space="preserve">15. Качество воды:</w:t>
      </w:r>
    </w:p>
    <w:bookmarkStart w:id="154" w:name="P154"/>
    <w:bookmarkEnd w:id="154"/>
    <w:p>
      <w:pPr>
        <w:pStyle w:val="1"/>
        <w:jc w:val="both"/>
      </w:pPr>
      <w:r>
        <w:rPr>
          <w:sz w:val="20"/>
        </w:rPr>
        <w:t xml:space="preserve">а) физические свойства ____________________________________________________</w:t>
      </w:r>
    </w:p>
    <w:bookmarkStart w:id="155" w:name="P155"/>
    <w:bookmarkEnd w:id="155"/>
    <w:p>
      <w:pPr>
        <w:pStyle w:val="1"/>
        <w:jc w:val="both"/>
      </w:pPr>
      <w:r>
        <w:rPr>
          <w:sz w:val="20"/>
        </w:rPr>
        <w:t xml:space="preserve">б) химический анализ: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020"/>
        <w:gridCol w:w="907"/>
        <w:gridCol w:w="737"/>
        <w:gridCol w:w="1219"/>
        <w:gridCol w:w="566"/>
        <w:gridCol w:w="706"/>
        <w:gridCol w:w="850"/>
        <w:gridCol w:w="710"/>
        <w:gridCol w:w="710"/>
        <w:gridCol w:w="850"/>
        <w:gridCol w:w="794"/>
      </w:tblGrid>
      <w:tr>
        <w:tc>
          <w:tcPr>
            <w:tcW w:w="102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Номер и геологический индекс водоносного горизонта</w:t>
            </w:r>
          </w:p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Дата отбора пробы</w:t>
            </w:r>
          </w:p>
        </w:tc>
        <w:tc>
          <w:tcPr>
            <w:tcW w:w="737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Сухой остаток (миллиграмм на литр)</w:t>
            </w:r>
          </w:p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Жесткость общая</w:t>
            </w:r>
          </w:p>
        </w:tc>
        <w:tc>
          <w:tcPr>
            <w:gridSpan w:val="6"/>
            <w:tcW w:w="439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Основные химические компоненты (миллиграмм на литр)</w:t>
            </w:r>
          </w:p>
        </w:tc>
        <w:tc>
          <w:tcPr>
            <w:tcW w:w="79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Формула Курлова и дополнительные сведения</w:t>
            </w:r>
          </w:p>
        </w:tc>
      </w:tr>
      <w:tr>
        <w:tc>
          <w:tcPr>
            <w:vMerge w:val="continue"/>
          </w:tcPr>
          <w:p/>
        </w:tc>
        <w:tc>
          <w:tcPr>
            <w:tcW w:w="90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Глубина отбора пробы (метры)</w:t>
            </w:r>
          </w:p>
        </w:tc>
        <w:tc>
          <w:tcPr>
            <w:vMerge w:val="continue"/>
          </w:tcPr>
          <w:p/>
        </w:tc>
        <w:tc>
          <w:tcPr>
            <w:tcW w:w="121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устранимая (миллиграмм - эквивалент на литр)</w:t>
            </w:r>
          </w:p>
        </w:tc>
        <w:tc>
          <w:tcPr>
            <w:tcW w:w="56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Cl</w:t>
            </w:r>
            <w:r>
              <w:rPr>
                <w:sz w:val="24"/>
                <w:vertAlign w:val="superscript"/>
              </w:rPr>
              <w:t xml:space="preserve">-</w:t>
            </w:r>
          </w:p>
        </w:tc>
        <w:tc>
          <w:tcPr>
            <w:tcW w:w="70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SO</w:t>
            </w:r>
            <w:r>
              <w:rPr>
                <w:sz w:val="24"/>
                <w:vertAlign w:val="subscript"/>
              </w:rPr>
              <w:t xml:space="preserve">4</w:t>
            </w:r>
            <w:r>
              <w:rPr>
                <w:sz w:val="24"/>
                <w:vertAlign w:val="superscript"/>
              </w:rPr>
              <w:t xml:space="preserve">2-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HCO</w:t>
            </w:r>
            <w:r>
              <w:rPr>
                <w:sz w:val="24"/>
                <w:vertAlign w:val="subscript"/>
              </w:rPr>
              <w:t xml:space="preserve">3</w:t>
            </w:r>
            <w:r>
              <w:rPr>
                <w:sz w:val="24"/>
                <w:vertAlign w:val="superscript"/>
              </w:rPr>
              <w:t xml:space="preserve">-</w:t>
            </w:r>
          </w:p>
        </w:tc>
        <w:tc>
          <w:tcPr>
            <w:tcW w:w="71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Ca</w:t>
            </w:r>
            <w:r>
              <w:rPr>
                <w:sz w:val="24"/>
                <w:vertAlign w:val="superscript"/>
              </w:rPr>
              <w:t xml:space="preserve">2+</w:t>
            </w:r>
          </w:p>
        </w:tc>
        <w:tc>
          <w:tcPr>
            <w:tcW w:w="71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Mg</w:t>
            </w:r>
            <w:r>
              <w:rPr>
                <w:sz w:val="24"/>
                <w:vertAlign w:val="superscript"/>
              </w:rPr>
              <w:t xml:space="preserve">2+</w:t>
            </w:r>
          </w:p>
        </w:tc>
        <w:tc>
          <w:tcPr>
            <w:tcW w:w="85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Na</w:t>
            </w:r>
            <w:r>
              <w:rPr>
                <w:sz w:val="24"/>
                <w:vertAlign w:val="superscript"/>
              </w:rPr>
              <w:t xml:space="preserve">+</w:t>
            </w:r>
            <w:r>
              <w:rPr>
                <w:sz w:val="24"/>
              </w:rPr>
              <w:t xml:space="preserve"> + K</w:t>
            </w:r>
            <w:r>
              <w:rPr>
                <w:sz w:val="24"/>
                <w:vertAlign w:val="superscript"/>
              </w:rPr>
              <w:t xml:space="preserve">+</w:t>
            </w:r>
          </w:p>
        </w:tc>
        <w:tc>
          <w:tcPr>
            <w:vMerge w:val="continue"/>
          </w:tcPr>
          <w:p/>
        </w:tc>
      </w:tr>
      <w:tr>
        <w:tc>
          <w:tcPr>
            <w:tcW w:w="102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0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37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19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566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06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1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1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850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79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bookmarkStart w:id="183" w:name="P183"/>
    <w:bookmarkEnd w:id="183"/>
    <w:p>
      <w:pPr>
        <w:pStyle w:val="1"/>
        <w:jc w:val="both"/>
      </w:pPr>
      <w:r>
        <w:rPr>
          <w:sz w:val="20"/>
        </w:rPr>
        <w:t xml:space="preserve">в) бактериологический анализ (заполняется в случае проведения) ____________</w:t>
      </w:r>
    </w:p>
    <w:bookmarkStart w:id="184" w:name="P184"/>
    <w:bookmarkEnd w:id="184"/>
    <w:p>
      <w:pPr>
        <w:pStyle w:val="1"/>
        <w:jc w:val="both"/>
      </w:pPr>
      <w:r>
        <w:rPr>
          <w:sz w:val="20"/>
        </w:rPr>
        <w:t xml:space="preserve">16. Дополнительные сведения _______________________________________________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Дата заполнения карточки "__" __________ 20__ г.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Учетную карточку заполнил 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                                    (должность, фамилия, дата)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Проверил   сотрудник   территориального   фонда   геологической  информации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                        (должность, фамилия, дата)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1"/>
        <w:jc w:val="right"/>
      </w:pPr>
      <w:r>
        <w:rPr>
          <w:sz w:val="24"/>
        </w:rPr>
        <w:t xml:space="preserve">Приложение N 2</w:t>
      </w:r>
    </w:p>
    <w:p>
      <w:pPr>
        <w:pStyle w:val="0"/>
        <w:jc w:val="right"/>
      </w:pPr>
      <w:r>
        <w:rPr>
          <w:sz w:val="24"/>
        </w:rPr>
        <w:t xml:space="preserve">к Положению о порядке осуществления</w:t>
      </w:r>
    </w:p>
    <w:p>
      <w:pPr>
        <w:pStyle w:val="0"/>
        <w:jc w:val="right"/>
      </w:pPr>
      <w:r>
        <w:rPr>
          <w:sz w:val="24"/>
        </w:rPr>
        <w:t xml:space="preserve">добычи подземных вод для собственных</w:t>
      </w:r>
    </w:p>
    <w:p>
      <w:pPr>
        <w:pStyle w:val="0"/>
        <w:jc w:val="right"/>
      </w:pPr>
      <w:r>
        <w:rPr>
          <w:sz w:val="24"/>
        </w:rPr>
        <w:t xml:space="preserve">производственных и технологических нужд</w:t>
      </w:r>
    </w:p>
    <w:p>
      <w:pPr>
        <w:pStyle w:val="0"/>
        <w:jc w:val="right"/>
      </w:pPr>
      <w:r>
        <w:rPr>
          <w:sz w:val="24"/>
        </w:rPr>
        <w:t xml:space="preserve">пользователями недр, осуществляющими</w:t>
      </w:r>
    </w:p>
    <w:p>
      <w:pPr>
        <w:pStyle w:val="0"/>
        <w:jc w:val="right"/>
      </w:pPr>
      <w:r>
        <w:rPr>
          <w:sz w:val="24"/>
        </w:rPr>
        <w:t xml:space="preserve">разведку и добычу полезных ископаемых</w:t>
      </w:r>
    </w:p>
    <w:p>
      <w:pPr>
        <w:pStyle w:val="0"/>
        <w:jc w:val="right"/>
      </w:pPr>
      <w:r>
        <w:rPr>
          <w:sz w:val="24"/>
        </w:rPr>
        <w:t xml:space="preserve">или по совмещенной лицензии</w:t>
      </w:r>
    </w:p>
    <w:p>
      <w:pPr>
        <w:pStyle w:val="0"/>
        <w:jc w:val="right"/>
      </w:pPr>
      <w:r>
        <w:rPr>
          <w:sz w:val="24"/>
        </w:rPr>
        <w:t xml:space="preserve">геологическое изучение, разведку</w:t>
      </w:r>
    </w:p>
    <w:p>
      <w:pPr>
        <w:pStyle w:val="0"/>
        <w:jc w:val="right"/>
      </w:pPr>
      <w:r>
        <w:rPr>
          <w:sz w:val="24"/>
        </w:rPr>
        <w:t xml:space="preserve">и добычу полезных ископаемых,</w:t>
      </w:r>
    </w:p>
    <w:p>
      <w:pPr>
        <w:pStyle w:val="0"/>
        <w:jc w:val="right"/>
      </w:pPr>
      <w:r>
        <w:rPr>
          <w:sz w:val="24"/>
        </w:rPr>
        <w:t xml:space="preserve">разработку технологий геологического</w:t>
      </w:r>
    </w:p>
    <w:p>
      <w:pPr>
        <w:pStyle w:val="0"/>
        <w:jc w:val="right"/>
      </w:pPr>
      <w:r>
        <w:rPr>
          <w:sz w:val="24"/>
        </w:rPr>
        <w:t xml:space="preserve">изучения, разведки и добычи</w:t>
      </w:r>
    </w:p>
    <w:p>
      <w:pPr>
        <w:pStyle w:val="0"/>
        <w:jc w:val="right"/>
      </w:pPr>
      <w:r>
        <w:rPr>
          <w:sz w:val="24"/>
        </w:rPr>
        <w:t xml:space="preserve">трудноизвлекаемых полезных ископаемых</w:t>
      </w:r>
    </w:p>
    <w:p>
      <w:pPr>
        <w:pStyle w:val="0"/>
        <w:jc w:val="right"/>
      </w:pPr>
      <w:r>
        <w:rPr>
          <w:sz w:val="24"/>
        </w:rPr>
        <w:t xml:space="preserve">или по совмещенной лицензии разработку</w:t>
      </w:r>
    </w:p>
    <w:p>
      <w:pPr>
        <w:pStyle w:val="0"/>
        <w:jc w:val="right"/>
      </w:pPr>
      <w:r>
        <w:rPr>
          <w:sz w:val="24"/>
        </w:rPr>
        <w:t xml:space="preserve">технологий геологического изучения,</w:t>
      </w:r>
    </w:p>
    <w:p>
      <w:pPr>
        <w:pStyle w:val="0"/>
        <w:jc w:val="right"/>
      </w:pPr>
      <w:r>
        <w:rPr>
          <w:sz w:val="24"/>
        </w:rPr>
        <w:t xml:space="preserve">разведки и добычи трудноизвлекаемых</w:t>
      </w:r>
    </w:p>
    <w:p>
      <w:pPr>
        <w:pStyle w:val="0"/>
        <w:jc w:val="right"/>
      </w:pPr>
      <w:r>
        <w:rPr>
          <w:sz w:val="24"/>
        </w:rPr>
        <w:t xml:space="preserve">полезных ископаемых, разведку</w:t>
      </w:r>
    </w:p>
    <w:p>
      <w:pPr>
        <w:pStyle w:val="0"/>
        <w:jc w:val="right"/>
      </w:pPr>
      <w:r>
        <w:rPr>
          <w:sz w:val="24"/>
        </w:rPr>
        <w:t xml:space="preserve">и добычу таких полезных ископаемых,</w:t>
      </w:r>
    </w:p>
    <w:p>
      <w:pPr>
        <w:pStyle w:val="0"/>
        <w:jc w:val="right"/>
      </w:pPr>
      <w:r>
        <w:rPr>
          <w:sz w:val="24"/>
        </w:rPr>
        <w:t xml:space="preserve">в границах предоставленных им участков</w:t>
      </w:r>
    </w:p>
    <w:p>
      <w:pPr>
        <w:pStyle w:val="0"/>
        <w:jc w:val="right"/>
      </w:pPr>
      <w:r>
        <w:rPr>
          <w:sz w:val="24"/>
        </w:rPr>
        <w:t xml:space="preserve">недр на основании утвержденного</w:t>
      </w:r>
    </w:p>
    <w:p>
      <w:pPr>
        <w:pStyle w:val="0"/>
        <w:jc w:val="right"/>
      </w:pPr>
      <w:r>
        <w:rPr>
          <w:sz w:val="24"/>
        </w:rPr>
        <w:t xml:space="preserve">технического проекта, утвержденному</w:t>
      </w:r>
    </w:p>
    <w:p>
      <w:pPr>
        <w:pStyle w:val="0"/>
        <w:jc w:val="right"/>
      </w:pPr>
      <w:r>
        <w:rPr>
          <w:sz w:val="24"/>
        </w:rPr>
        <w:t xml:space="preserve">приказом Минприроды России</w:t>
      </w:r>
    </w:p>
    <w:p>
      <w:pPr>
        <w:pStyle w:val="0"/>
        <w:jc w:val="right"/>
      </w:pPr>
      <w:r>
        <w:rPr>
          <w:sz w:val="24"/>
        </w:rPr>
        <w:t xml:space="preserve">от 1 декабря 2020 г. N 996</w:t>
      </w:r>
    </w:p>
    <w:p>
      <w:pPr>
        <w:pStyle w:val="0"/>
        <w:jc w:val="both"/>
      </w:pPr>
      <w:r>
        <w:rPr>
          <w:sz w:val="24"/>
        </w:rPr>
      </w:r>
    </w:p>
    <w:bookmarkStart w:id="222" w:name="P222"/>
    <w:bookmarkEnd w:id="222"/>
    <w:p>
      <w:pPr>
        <w:pStyle w:val="2"/>
        <w:jc w:val="center"/>
      </w:pPr>
      <w:r>
        <w:rPr>
          <w:sz w:val="24"/>
        </w:rPr>
        <w:t xml:space="preserve">РЕКОМЕНДУЕМЫЙ ОБРАЗЕЦ ЗАПОЛНЕНИЯ</w:t>
      </w:r>
    </w:p>
    <w:p>
      <w:pPr>
        <w:pStyle w:val="2"/>
        <w:jc w:val="center"/>
      </w:pPr>
      <w:r>
        <w:rPr>
          <w:sz w:val="24"/>
        </w:rPr>
        <w:t xml:space="preserve">УЧЕТНЫХ КАРТОЧЕК БУРОВЫХ СКВАЖИН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В </w:t>
      </w:r>
      <w:hyperlink w:history="0" w:anchor="P112" w:tooltip="УЧЕТНАЯ КАРТОЧКА">
        <w:r>
          <w:rPr>
            <w:sz w:val="24"/>
            <w:color w:val="0000ff"/>
          </w:rPr>
          <w:t xml:space="preserve">заголовке</w:t>
        </w:r>
      </w:hyperlink>
      <w:r>
        <w:rPr>
          <w:sz w:val="24"/>
        </w:rPr>
        <w:t xml:space="preserve"> учетной карточки буровой скважины на воду (далее - скважина) указывается наименование пользователя недр, номер скважины по техническому проекту (проектной документации).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 </w:t>
      </w:r>
      <w:hyperlink w:history="0" w:anchor="P115" w:tooltip="1. Наименование субъекта Российской Федерации _____________________________">
        <w:r>
          <w:rPr>
            <w:sz w:val="24"/>
            <w:color w:val="0000ff"/>
          </w:rPr>
          <w:t xml:space="preserve">пункте 1</w:t>
        </w:r>
      </w:hyperlink>
      <w:r>
        <w:rPr>
          <w:sz w:val="24"/>
        </w:rPr>
        <w:t xml:space="preserve"> приводится наименование субъекта Российской Федерации.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 </w:t>
      </w:r>
      <w:hyperlink w:history="0" w:anchor="P116" w:tooltip="2.  Местоположение  скважины  (водный  объект,  населенный  пункт,  элемент">
        <w:r>
          <w:rPr>
            <w:sz w:val="24"/>
            <w:color w:val="0000ff"/>
          </w:rPr>
          <w:t xml:space="preserve">пункте 2</w:t>
        </w:r>
      </w:hyperlink>
      <w:r>
        <w:rPr>
          <w:sz w:val="24"/>
        </w:rPr>
        <w:t xml:space="preserve"> указывается местоположение скважины относительно водного объекта, населенного пункта, элементов рельефа (пойма реки, надпойменная терраса, склон долины, водораздел). Если есть сведения о макрорельефе участка, последние также приводятся в данном пункте в краткой форме.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 </w:t>
      </w:r>
      <w:hyperlink w:history="0" w:anchor="P118" w:tooltip="3. Номенклатура листа топографической карты масштаба 1:200 000 ____________">
        <w:r>
          <w:rPr>
            <w:sz w:val="24"/>
            <w:color w:val="0000ff"/>
          </w:rPr>
          <w:t xml:space="preserve">пункте 3</w:t>
        </w:r>
      </w:hyperlink>
      <w:r>
        <w:rPr>
          <w:sz w:val="24"/>
        </w:rPr>
        <w:t xml:space="preserve"> дается номенклатура листа топографической карты масштаба 1:200000, в пределах которого расположена скважина.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 </w:t>
      </w:r>
      <w:hyperlink w:history="0" w:anchor="P119" w:tooltip="4. Географические координаты: северная широта ____ восточная долгота ______">
        <w:r>
          <w:rPr>
            <w:sz w:val="24"/>
            <w:color w:val="0000ff"/>
          </w:rPr>
          <w:t xml:space="preserve">пункте 4</w:t>
        </w:r>
      </w:hyperlink>
      <w:r>
        <w:rPr>
          <w:sz w:val="24"/>
        </w:rPr>
        <w:t xml:space="preserve"> записываются географические координаты северной широты и восточной долготы скважины с точностью до секунд.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 </w:t>
      </w:r>
      <w:hyperlink w:history="0" w:anchor="P120" w:tooltip="5. Абсолютная отметка устья скважины ______________________________________">
        <w:r>
          <w:rPr>
            <w:sz w:val="24"/>
            <w:color w:val="0000ff"/>
          </w:rPr>
          <w:t xml:space="preserve">пункте 5</w:t>
        </w:r>
      </w:hyperlink>
      <w:r>
        <w:rPr>
          <w:sz w:val="24"/>
        </w:rPr>
        <w:t xml:space="preserve"> указывается абсолютная отметка устья скважины по данным инструментальной привязки. В тех случаях, когда сведения об абсолютной отметке устья скважины отсутствуют, последняя должна быть определена по топографической карте, о чем в этом же пункте учетной карточки делается соответствующая запись.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 </w:t>
      </w:r>
      <w:hyperlink w:history="0" w:anchor="P121" w:tooltip="6. Назначение скважины и сведения об ее использовании _____________________">
        <w:r>
          <w:rPr>
            <w:sz w:val="24"/>
            <w:color w:val="0000ff"/>
          </w:rPr>
          <w:t xml:space="preserve">пункте 6</w:t>
        </w:r>
      </w:hyperlink>
      <w:r>
        <w:rPr>
          <w:sz w:val="24"/>
        </w:rPr>
        <w:t xml:space="preserve"> указывается целевое назначение скважины (для технологического обеспечения объектов недропользования на месторождении) и приводятся сведения о состоянии скважины (рабочая, законсервирована, ликвидирована или затампонирована, заброшена).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 </w:t>
      </w:r>
      <w:hyperlink w:history="0" w:anchor="P122" w:tooltip="7. Наименование организации, выполнявшей бурение, и год бурения ___________">
        <w:r>
          <w:rPr>
            <w:sz w:val="24"/>
            <w:color w:val="0000ff"/>
          </w:rPr>
          <w:t xml:space="preserve">пункте 7</w:t>
        </w:r>
      </w:hyperlink>
      <w:r>
        <w:rPr>
          <w:sz w:val="24"/>
        </w:rPr>
        <w:t xml:space="preserve"> даются полное наименование организации, проводившей строительство скважины, и год выполнения работ.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 </w:t>
      </w:r>
      <w:hyperlink w:history="0" w:anchor="P123" w:tooltip="8.  Реквизиты  проектной  документации,  на  основании  которой  составлена">
        <w:r>
          <w:rPr>
            <w:sz w:val="24"/>
            <w:color w:val="0000ff"/>
          </w:rPr>
          <w:t xml:space="preserve">пункте 8</w:t>
        </w:r>
      </w:hyperlink>
      <w:r>
        <w:rPr>
          <w:sz w:val="24"/>
        </w:rPr>
        <w:t xml:space="preserve"> указывается полное наименование проектной документации, на основании которой составлена учетная карточка, и номер, присвоенный скважине в указанной документации.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 </w:t>
      </w:r>
      <w:hyperlink w:history="0" w:anchor="P125" w:tooltip="9.  Место  хранения проектной документации, на основании которой составлена">
        <w:r>
          <w:rPr>
            <w:sz w:val="24"/>
            <w:color w:val="0000ff"/>
          </w:rPr>
          <w:t xml:space="preserve">пункте 9</w:t>
        </w:r>
      </w:hyperlink>
      <w:r>
        <w:rPr>
          <w:sz w:val="24"/>
        </w:rPr>
        <w:t xml:space="preserve"> указывается место хранения проектной документации.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 </w:t>
      </w:r>
      <w:hyperlink w:history="0" w:anchor="P127" w:tooltip="10. Глубина скважины в метрах _____________________________________________">
        <w:r>
          <w:rPr>
            <w:sz w:val="24"/>
            <w:color w:val="0000ff"/>
          </w:rPr>
          <w:t xml:space="preserve">пункте 10</w:t>
        </w:r>
      </w:hyperlink>
      <w:r>
        <w:rPr>
          <w:sz w:val="24"/>
        </w:rPr>
        <w:t xml:space="preserve"> приводится полная глубина скважины в метрах.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 </w:t>
      </w:r>
      <w:hyperlink w:history="0" w:anchor="P128" w:tooltip="11. Балансовая стоимость скважины (тыс. руб.) _____________________________">
        <w:r>
          <w:rPr>
            <w:sz w:val="24"/>
            <w:color w:val="0000ff"/>
          </w:rPr>
          <w:t xml:space="preserve">пункте 11</w:t>
        </w:r>
      </w:hyperlink>
      <w:r>
        <w:rPr>
          <w:sz w:val="24"/>
        </w:rPr>
        <w:t xml:space="preserve"> указывается балансовая стоимость скважины в тыс. рублей.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 </w:t>
      </w:r>
      <w:hyperlink w:history="0" w:anchor="P129" w:tooltip="12. Конструкция и оборудование ____________________________________________">
        <w:r>
          <w:rPr>
            <w:sz w:val="24"/>
            <w:color w:val="0000ff"/>
          </w:rPr>
          <w:t xml:space="preserve">пункте 12</w:t>
        </w:r>
      </w:hyperlink>
      <w:r>
        <w:rPr>
          <w:sz w:val="24"/>
        </w:rPr>
        <w:t xml:space="preserve"> приводятся сведения о конструкции и оборудовании скважины: начальный и конечный диаметры, глубина обсадки, тип и размеры фильтра и водоподъемного устройства.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 </w:t>
      </w:r>
      <w:hyperlink w:history="0" w:anchor="P130" w:tooltip="13.  Дебит  в  литрах  в  секунду  (числитель),  понижение  уровня в метрах">
        <w:r>
          <w:rPr>
            <w:sz w:val="24"/>
            <w:color w:val="0000ff"/>
          </w:rPr>
          <w:t xml:space="preserve">пункте 13</w:t>
        </w:r>
      </w:hyperlink>
      <w:r>
        <w:rPr>
          <w:sz w:val="24"/>
        </w:rPr>
        <w:t xml:space="preserve"> в числителе указывается дебит (литры в секунду) каждого из опробованных водоносных горизонтов при всех понижениях уровня воды. Номер опробованного водоносного горизонта обозначается римской цифрой (I, II, III) и должен соответствовать номеру водоносного горизонта, указанному в </w:t>
      </w:r>
      <w:hyperlink w:history="0" w:anchor="P133" w:tooltip="14. Геологический разрез и сведения о водоносности:">
        <w:r>
          <w:rPr>
            <w:sz w:val="24"/>
            <w:color w:val="0000ff"/>
          </w:rPr>
          <w:t xml:space="preserve">пунктах 14</w:t>
        </w:r>
      </w:hyperlink>
      <w:r>
        <w:rPr>
          <w:sz w:val="24"/>
        </w:rPr>
        <w:t xml:space="preserve"> и </w:t>
      </w:r>
      <w:hyperlink w:history="0" w:anchor="P153" w:tooltip="15. Качество воды:">
        <w:r>
          <w:rPr>
            <w:sz w:val="24"/>
            <w:color w:val="0000ff"/>
          </w:rPr>
          <w:t xml:space="preserve">15</w:t>
        </w:r>
      </w:hyperlink>
      <w:r>
        <w:rPr>
          <w:sz w:val="24"/>
        </w:rPr>
        <w:t xml:space="preserve"> учетной карточки. Если скважиной вскрыт и опробован только один водоносный горизонт, то в </w:t>
      </w:r>
      <w:hyperlink w:history="0" w:anchor="P130" w:tooltip="13.  Дебит  в  литрах  в  секунду  (числитель),  понижение  уровня в метрах">
        <w:r>
          <w:rPr>
            <w:sz w:val="24"/>
            <w:color w:val="0000ff"/>
          </w:rPr>
          <w:t xml:space="preserve">пункте 13</w:t>
        </w:r>
      </w:hyperlink>
      <w:r>
        <w:rPr>
          <w:sz w:val="24"/>
        </w:rPr>
        <w:t xml:space="preserve"> его номер не указывается. Дебит из одного водоносного горизонта при откачке с различными понижениями уровня дается с цифровым индексом, обозначающим порядковый номер понижения (1, 2, 3). Если откачка выполнялась только при одном понижении уровня, то цифровой индекс не пишется.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Понижение уровня воды (метры), соответствующее приведенному дебиту, пишется в знаменателе. В </w:t>
      </w:r>
      <w:hyperlink w:history="0" w:anchor="P130" w:tooltip="13.  Дебит  в  литрах  в  секунду  (числитель),  понижение  уровня в метрах">
        <w:r>
          <w:rPr>
            <w:sz w:val="24"/>
            <w:color w:val="0000ff"/>
          </w:rPr>
          <w:t xml:space="preserve">пункте 13</w:t>
        </w:r>
      </w:hyperlink>
      <w:r>
        <w:rPr>
          <w:sz w:val="24"/>
        </w:rPr>
        <w:t xml:space="preserve"> приводится также удельный дебит (литры в секунду) и дата производства откачки (указывается в скобках).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Удельный дебит приводится только для откачек, выполненных при понижении уровня воды более 1 м.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При наличии данных повторных откачек, характеризующих дебиты этих откачек в различное время, эти данные также приводятся в </w:t>
      </w:r>
      <w:hyperlink w:history="0" w:anchor="P130" w:tooltip="13.  Дебит  в  литрах  в  секунду  (числитель),  понижение  уровня в метрах">
        <w:r>
          <w:rPr>
            <w:sz w:val="24"/>
            <w:color w:val="0000ff"/>
          </w:rPr>
          <w:t xml:space="preserve">пункте 13</w:t>
        </w:r>
      </w:hyperlink>
      <w:r>
        <w:rPr>
          <w:sz w:val="24"/>
        </w:rPr>
        <w:t xml:space="preserve">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 </w:t>
      </w:r>
      <w:hyperlink w:history="0" w:anchor="P133" w:tooltip="14. Геологический разрез и сведения о водоносности:">
        <w:r>
          <w:rPr>
            <w:sz w:val="24"/>
            <w:color w:val="0000ff"/>
          </w:rPr>
          <w:t xml:space="preserve">пункте 14</w:t>
        </w:r>
      </w:hyperlink>
      <w:r>
        <w:rPr>
          <w:sz w:val="24"/>
        </w:rPr>
        <w:t xml:space="preserve"> во </w:t>
      </w:r>
      <w:hyperlink w:history="0" w:anchor="P136" w:tooltip="Литологическое описание (наименование водовмещающих пород)">
        <w:r>
          <w:rPr>
            <w:sz w:val="24"/>
            <w:color w:val="0000ff"/>
          </w:rPr>
          <w:t xml:space="preserve">втором</w:t>
        </w:r>
      </w:hyperlink>
      <w:r>
        <w:rPr>
          <w:sz w:val="24"/>
        </w:rPr>
        <w:t xml:space="preserve"> столбце приводится краткое литологическое описание вскрытых скважиной пород. При этом необходимо иметь в виду, что, если скважиной пройдены многолетнемерзлые породы, описание мерзлых и талых пород дается раздельно. В </w:t>
      </w:r>
      <w:hyperlink w:history="0" w:anchor="P137" w:tooltip="Геолологический индекс">
        <w:r>
          <w:rPr>
            <w:sz w:val="24"/>
            <w:color w:val="0000ff"/>
          </w:rPr>
          <w:t xml:space="preserve">третьем</w:t>
        </w:r>
      </w:hyperlink>
      <w:r>
        <w:rPr>
          <w:sz w:val="24"/>
        </w:rPr>
        <w:t xml:space="preserve"> столбце даются геологические индексы выделенных слоев. Индексы должны соответствовать принятой для данного района схеме стратиграфического расчленения и системе индексации, далее указывается мощность слоя и глубина залегания ее подошвы. В следующем </w:t>
      </w:r>
      <w:hyperlink w:history="0" w:anchor="P140" w:tooltip="Порядковый N водонапорного горизонта">
        <w:r>
          <w:rPr>
            <w:sz w:val="24"/>
            <w:color w:val="0000ff"/>
          </w:rPr>
          <w:t xml:space="preserve">(шестом)</w:t>
        </w:r>
      </w:hyperlink>
      <w:r>
        <w:rPr>
          <w:sz w:val="24"/>
        </w:rPr>
        <w:t xml:space="preserve"> столбце в виде дроби приводятся порядковый номер водоносного горизонта (римская цифра в числителе) и глубина его залегания (знаменатель). Нумерация водоносных горизонтов производится сверху вниз по данной скважине. Глубина залегания водоносного горизонта дается в интервале от кровли до подошвы. В следующем </w:t>
      </w:r>
      <w:hyperlink w:history="0" w:anchor="P141" w:tooltip="Глубина появления воды (метры)">
        <w:r>
          <w:rPr>
            <w:sz w:val="24"/>
            <w:color w:val="0000ff"/>
          </w:rPr>
          <w:t xml:space="preserve">(седьмом)</w:t>
        </w:r>
      </w:hyperlink>
      <w:r>
        <w:rPr>
          <w:sz w:val="24"/>
        </w:rPr>
        <w:t xml:space="preserve"> столбце приводятся сведения о глубине появления воды в скважине. В последнем </w:t>
      </w:r>
      <w:hyperlink w:history="0" w:anchor="P142" w:tooltip="Установленный уровень (метры)">
        <w:r>
          <w:rPr>
            <w:sz w:val="24"/>
            <w:color w:val="0000ff"/>
          </w:rPr>
          <w:t xml:space="preserve">(восьмом)</w:t>
        </w:r>
      </w:hyperlink>
      <w:r>
        <w:rPr>
          <w:sz w:val="24"/>
        </w:rPr>
        <w:t xml:space="preserve"> столбце указывается глубина установившегося уровня воды (от поверхности земли). В том случае, если уровень водоносного горизонта установился выше поверхности земли, это указывается знаком "+" у цифры, обозначающей превышение уровня воды над поверхностью земли у устья скважины. Если имеются данные повторных замеров уровня воды в скважине, характеризующие его изменения во времени, в </w:t>
      </w:r>
      <w:hyperlink w:history="0" w:anchor="P142" w:tooltip="Установленный уровень (метры)">
        <w:r>
          <w:rPr>
            <w:sz w:val="24"/>
            <w:color w:val="0000ff"/>
          </w:rPr>
          <w:t xml:space="preserve">восьмом столбце пункта 14</w:t>
        </w:r>
      </w:hyperlink>
      <w:r>
        <w:rPr>
          <w:sz w:val="24"/>
        </w:rPr>
        <w:t xml:space="preserve"> делается соответствующая запись.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 отдельных случаях, когда отведенного в карточке места для описания геологического разреза скважины оказывается недостаточно, в карточке делается дополнение на отдельном листе того же формата, в котором по форме </w:t>
      </w:r>
      <w:hyperlink w:history="0" w:anchor="P133" w:tooltip="14. Геологический разрез и сведения о водоносности:">
        <w:r>
          <w:rPr>
            <w:sz w:val="24"/>
            <w:color w:val="0000ff"/>
          </w:rPr>
          <w:t xml:space="preserve">пункта 14</w:t>
        </w:r>
      </w:hyperlink>
      <w:r>
        <w:rPr>
          <w:sz w:val="24"/>
        </w:rPr>
        <w:t xml:space="preserve"> выписываются все необходимые сведения, не уместившиеся на основном листке карточки. Дополнение подклеивается к корешку карточки (к полю для подшивки). На дополнительном листке делается надпись: "Продолжение описания геологического разреза к учетной карточке N ____", в основной карточке в конце </w:t>
      </w:r>
      <w:hyperlink w:history="0" w:anchor="P133" w:tooltip="14. Геологический разрез и сведения о водоносности:">
        <w:r>
          <w:rPr>
            <w:sz w:val="24"/>
            <w:color w:val="0000ff"/>
          </w:rPr>
          <w:t xml:space="preserve">пункта 14</w:t>
        </w:r>
      </w:hyperlink>
      <w:r>
        <w:rPr>
          <w:sz w:val="24"/>
        </w:rPr>
        <w:t xml:space="preserve"> указывается: "см. продолжение".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 </w:t>
      </w:r>
      <w:hyperlink w:history="0" w:anchor="P154" w:tooltip="а) физические свойства ____________________________________________________">
        <w:r>
          <w:rPr>
            <w:sz w:val="24"/>
            <w:color w:val="0000ff"/>
          </w:rPr>
          <w:t xml:space="preserve">подпункте "а" пункта 15</w:t>
        </w:r>
      </w:hyperlink>
      <w:r>
        <w:rPr>
          <w:sz w:val="24"/>
        </w:rPr>
        <w:t xml:space="preserve"> вписываются все имеющиеся сведения о физических свойствах воды. Если описывается несколько водоносных горизонтов, то записи делаются с соответствующей нумерацией их (см. </w:t>
      </w:r>
      <w:hyperlink w:history="0" w:anchor="P140" w:tooltip="Порядковый N водонапорного горизонта">
        <w:r>
          <w:rPr>
            <w:sz w:val="24"/>
            <w:color w:val="0000ff"/>
          </w:rPr>
          <w:t xml:space="preserve">шестой столбец пункта 14</w:t>
        </w:r>
      </w:hyperlink>
      <w:r>
        <w:rPr>
          <w:sz w:val="24"/>
        </w:rPr>
        <w:t xml:space="preserve">).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 </w:t>
      </w:r>
      <w:hyperlink w:history="0" w:anchor="P155" w:tooltip="б) химический анализ:">
        <w:r>
          <w:rPr>
            <w:sz w:val="24"/>
            <w:color w:val="0000ff"/>
          </w:rPr>
          <w:t xml:space="preserve">подпункте "б" пункта 15</w:t>
        </w:r>
      </w:hyperlink>
      <w:r>
        <w:rPr>
          <w:sz w:val="24"/>
        </w:rPr>
        <w:t xml:space="preserve"> в первом столбце указываются номер водоносного горизонта, для которого приводится химический анализ, и геологический индекс этого горизонта. В следующих столбцах приводятся дата (числитель) и глубина отбора (знаменатель) пробы воды. Сухой остаток дается в миллиграмм на литр (указывается способ определения сухого остатка или величины минерализации). Жесткость (в числителе - общая, в знаменателе - устранимая) дается в миллиграмм-эквивалент на литр. Результаты химического анализа приводятся в полной форме в миллиграммах на литр (если в первичном документе анализ приведен в какой-либо иной форме, то необходимо произвести пересчет). В последнем столбце </w:t>
      </w:r>
      <w:hyperlink w:history="0" w:anchor="P153" w:tooltip="15. Качество воды:">
        <w:r>
          <w:rPr>
            <w:sz w:val="24"/>
            <w:color w:val="0000ff"/>
          </w:rPr>
          <w:t xml:space="preserve">пункта 15</w:t>
        </w:r>
      </w:hyperlink>
      <w:r>
        <w:rPr>
          <w:sz w:val="24"/>
        </w:rPr>
        <w:t xml:space="preserve"> выписываются формула Курлова и дополнительные сведения, имеющиеся для характеристики воды данного горизонта (содержания химических компонентов" и величины химических характеристик, не предусмотренных формой, на определенных при исследовании пробы воды.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Если имеющиеся сведения не вмещаются в </w:t>
      </w:r>
      <w:hyperlink w:history="0" w:anchor="P153" w:tooltip="15. Качество воды:">
        <w:r>
          <w:rPr>
            <w:sz w:val="24"/>
            <w:color w:val="0000ff"/>
          </w:rPr>
          <w:t xml:space="preserve">пункте 15</w:t>
        </w:r>
      </w:hyperlink>
      <w:r>
        <w:rPr>
          <w:sz w:val="24"/>
        </w:rPr>
        <w:t xml:space="preserve">, разрешается в учетной карточке оформить продолжение таблицы химических анализов к учетной карточке.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 </w:t>
      </w:r>
      <w:hyperlink w:history="0" w:anchor="P183" w:tooltip="в) бактериологический анализ (заполняется в случае проведения) ____________">
        <w:r>
          <w:rPr>
            <w:sz w:val="24"/>
            <w:color w:val="0000ff"/>
          </w:rPr>
          <w:t xml:space="preserve">подпункте "в" пункта 15</w:t>
        </w:r>
      </w:hyperlink>
      <w:r>
        <w:rPr>
          <w:sz w:val="24"/>
        </w:rPr>
        <w:t xml:space="preserve"> записываются результаты бактериологических исследований.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Если имеются результаты анализа нескольких проб для одного и того же водоносного горизонта, принципиально между собой не различающиеся, то в карточке следует приводить только один наиболее полный анализ. Если анализы выполнены в разное время, об этом в </w:t>
      </w:r>
      <w:hyperlink w:history="0" w:anchor="P184" w:tooltip="16. Дополнительные сведения _______________________________________________">
        <w:r>
          <w:rPr>
            <w:sz w:val="24"/>
            <w:color w:val="0000ff"/>
          </w:rPr>
          <w:t xml:space="preserve">пункте 16</w:t>
        </w:r>
      </w:hyperlink>
      <w:r>
        <w:rPr>
          <w:sz w:val="24"/>
        </w:rPr>
        <w:t xml:space="preserve"> "Дополнительные сведения" делается запись. Если имеются результаты анализа нескольких проб для одного и того же водоносного горизонта, показывающие изменения качества воды во времени, то все эти анализы приводятся в </w:t>
      </w:r>
      <w:hyperlink w:history="0" w:anchor="P153" w:tooltip="15. Качество воды:">
        <w:r>
          <w:rPr>
            <w:sz w:val="24"/>
            <w:color w:val="0000ff"/>
          </w:rPr>
          <w:t xml:space="preserve">пункте 15</w:t>
        </w:r>
      </w:hyperlink>
      <w:r>
        <w:rPr>
          <w:sz w:val="24"/>
        </w:rPr>
        <w:t xml:space="preserve">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 </w:t>
      </w:r>
      <w:hyperlink w:history="0" w:anchor="P184" w:tooltip="16. Дополнительные сведения _______________________________________________">
        <w:r>
          <w:rPr>
            <w:sz w:val="24"/>
            <w:color w:val="0000ff"/>
          </w:rPr>
          <w:t xml:space="preserve">пункте 16</w:t>
        </w:r>
      </w:hyperlink>
      <w:r>
        <w:rPr>
          <w:sz w:val="24"/>
        </w:rPr>
        <w:t xml:space="preserve"> записываются дополнительные сведения по данному объекту, не учтенные содержанием предыдущих пунктов, но необходимость внесения которых возникла при заполнении учетных карточек.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5"/>
      <w:headerReference w:type="first" r:id="rId5"/>
      <w:footerReference w:type="default" r:id="rId6"/>
      <w:footerReference w:type="first" r:id="rId6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Приказ Минприроды России от 01.12.2020 N 996</w:t>
            <w:br/>
            <w:t>"Об утверждении Положения о порядке осуществления добычи подземных вод для 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06.04.2026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</w:styles>
</file>

<file path=word/_rels/document.xml.rels><?xml version="1.0" encoding="UTF-8" standalone="yes"?>
<Relationships xmlns="http://schemas.openxmlformats.org/package/2006/relationships">
	<Relationship Id="rId1" Type="http://schemas.openxmlformats.org/officeDocument/2006/relationships/styles" Target="styles.xml"/>
	<Relationship Id="rId2" Type="http://schemas.openxmlformats.org/officeDocument/2006/relationships/image" Target="media/image1.png"/>
	<Relationship Id="rId3" Type="http://schemas.openxmlformats.org/officeDocument/2006/relationships/hyperlink" Target="https://www.consultant.ru" TargetMode = "External"/>
	<Relationship Id="rId4" Type="http://schemas.openxmlformats.org/officeDocument/2006/relationships/hyperlink" Target="https://www.consultant.ru" TargetMode = "External"/>
	<Relationship Id="rId5" Type="http://schemas.openxmlformats.org/officeDocument/2006/relationships/header" Target="header1.xml"/>
	<Relationship Id="rId6" Type="http://schemas.openxmlformats.org/officeDocument/2006/relationships/footer" Target="footer1.xml"/>
</Relationships>
</file>

<file path=word/_rels/footer1.xml.rels><?xml version="1.0" encoding="UTF-8" standalone="yes"?>
<Relationships xmlns="http://schemas.openxmlformats.org/package/2006/relationships">
	<Relationship Id="rId1" Type="http://schemas.openxmlformats.org/officeDocument/2006/relationships/hyperlink" Target="https://www.consultant.ru" TargetMode = "External"/>
</Relationships>
</file>

<file path=word/_rels/header1.xml.rels><?xml version="1.0" encoding="UTF-8" standalone="yes"?>
<Relationships xmlns="http://schemas.openxmlformats.org/package/2006/relationships">
	<Relationship Id="rId1" Type="http://schemas.openxmlformats.org/officeDocument/2006/relationships/hyperlink" Target="https://www.consultant.ru" TargetMode = "External"/>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4024.00.50</Application>
  <Company>КонсультантПлюс Версия 4024.00.50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 Минприроды России от 01.12.2020 N 996
"Об утверждении Положения о порядке осуществления добычи подземных вод для собственных производственных и технологических нужд пользователями недр, осуществляющими разведку и добычу полезных ископаемых или по совмещенной лицензии геологическое изучение, разведку и добычу полезных ископаемых, разработку технологий геологического изучения, разведки и добычи трудноизвлекаемых полезных ископаемых или по совмещенной лицензии разработку технологий геологического изучен</dc:title>
  <dcterms:created xsi:type="dcterms:W3CDTF">2026-04-06T08:58:00Z</dcterms:created>
</cp:coreProperties>
</file>